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2100D"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DB7B17" w:rsidP="00A50EB3">
            <w:pPr>
              <w:rPr>
                <w:rFonts w:ascii="Arial" w:hAnsi="Arial" w:cs="Arial"/>
                <w:lang w:val="en-GB"/>
              </w:rPr>
            </w:pPr>
            <w:r>
              <w:rPr>
                <w:rFonts w:ascii="Arial" w:hAnsi="Arial" w:cs="Arial"/>
                <w:b/>
                <w:sz w:val="24"/>
                <w:lang w:val="en-GB"/>
              </w:rPr>
              <w:t xml:space="preserve"> </w:t>
            </w:r>
            <w:r w:rsidR="00A50EB3" w:rsidRPr="00A50EB3">
              <w:rPr>
                <w:rFonts w:ascii="Arial" w:hAnsi="Arial" w:cs="Arial"/>
                <w:b/>
                <w:sz w:val="24"/>
                <w:lang w:val="en-GB"/>
              </w:rPr>
              <w:t>Use of construction chemicals by spray application (high energy), outdoor</w:t>
            </w:r>
            <w:r w:rsidR="00A50EB3">
              <w:rPr>
                <w:rFonts w:ascii="Arial" w:hAnsi="Arial" w:cs="Arial"/>
                <w:b/>
                <w:sz w:val="24"/>
                <w:lang w:val="en-GB"/>
              </w:rPr>
              <w:br/>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206A70">
              <w:rPr>
                <w:rFonts w:ascii="Arial" w:hAnsi="Arial" w:cs="Arial"/>
                <w:b/>
                <w:sz w:val="24"/>
                <w:lang w:val="en-GB"/>
              </w:rPr>
              <w:t>I</w:t>
            </w:r>
          </w:p>
        </w:tc>
      </w:tr>
      <w:tr w:rsidR="00B748D5" w:rsidRPr="0092100D" w:rsidTr="003D0BF1">
        <w:tc>
          <w:tcPr>
            <w:tcW w:w="1242" w:type="dxa"/>
            <w:vAlign w:val="center"/>
          </w:tcPr>
          <w:p w:rsidR="00B748D5" w:rsidRPr="00A50EB3" w:rsidRDefault="00B748D5" w:rsidP="009833B3">
            <w:pPr>
              <w:rPr>
                <w:rFonts w:ascii="Arial" w:hAnsi="Arial" w:cs="Arial"/>
                <w:b/>
                <w:sz w:val="28"/>
                <w:u w:val="single"/>
                <w:lang w:val="en-GB"/>
              </w:rPr>
            </w:pPr>
            <w:r w:rsidRPr="00A50EB3">
              <w:rPr>
                <w:rFonts w:ascii="Arial" w:hAnsi="Arial" w:cs="Arial"/>
                <w:b/>
                <w:sz w:val="28"/>
                <w:u w:val="single"/>
                <w:lang w:val="en-GB"/>
              </w:rPr>
              <w:t>Code</w:t>
            </w:r>
          </w:p>
        </w:tc>
        <w:tc>
          <w:tcPr>
            <w:tcW w:w="9102" w:type="dxa"/>
            <w:vAlign w:val="center"/>
          </w:tcPr>
          <w:p w:rsidR="00B748D5" w:rsidRPr="00B748D5" w:rsidRDefault="008E78C4" w:rsidP="00A50EB3">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EE7D5F">
              <w:rPr>
                <w:rFonts w:ascii="Arial" w:hAnsi="Arial" w:cs="Arial"/>
                <w:sz w:val="24"/>
                <w:lang w:val="en-GB"/>
              </w:rPr>
              <w:t>li-1</w:t>
            </w:r>
            <w:r w:rsidR="00A50EB3">
              <w:rPr>
                <w:rFonts w:ascii="Arial" w:hAnsi="Arial" w:cs="Arial"/>
                <w:sz w:val="24"/>
                <w:lang w:val="en-GB"/>
              </w:rPr>
              <w:t>1</w:t>
            </w:r>
            <w:r w:rsidR="00EE7D5F">
              <w:rPr>
                <w:rFonts w:ascii="Arial" w:hAnsi="Arial" w:cs="Arial"/>
                <w:sz w:val="24"/>
                <w:lang w:val="en-GB"/>
              </w:rPr>
              <w:t>-</w:t>
            </w:r>
            <w:r w:rsidR="00A50EB3">
              <w:rPr>
                <w:rFonts w:ascii="Arial" w:hAnsi="Arial" w:cs="Arial"/>
                <w:sz w:val="24"/>
                <w:lang w:val="en-GB"/>
              </w:rPr>
              <w:t>o</w:t>
            </w:r>
            <w:r w:rsidR="00EE7D5F">
              <w:rPr>
                <w:rFonts w:ascii="Arial" w:hAnsi="Arial" w:cs="Arial"/>
                <w:sz w:val="24"/>
                <w:lang w:val="en-GB"/>
              </w:rPr>
              <w:t>-</w:t>
            </w:r>
            <w:r w:rsidR="00E279C9">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A50EB3" w:rsidP="000364F5">
      <w:pPr>
        <w:shd w:val="clear" w:color="auto" w:fill="FFFFFF" w:themeFill="background1"/>
        <w:spacing w:after="0" w:line="240" w:lineRule="auto"/>
        <w:jc w:val="both"/>
        <w:rPr>
          <w:rFonts w:ascii="Arial" w:hAnsi="Arial" w:cs="Arial"/>
          <w:lang w:val="en-GB"/>
        </w:rPr>
      </w:pPr>
      <w:r w:rsidRPr="00A50EB3">
        <w:rPr>
          <w:rFonts w:ascii="Arial" w:hAnsi="Arial" w:cs="Arial"/>
          <w:lang w:val="en-GB"/>
        </w:rPr>
        <w:t>“EFCC_SUMI_PW_li-11-o-I_v</w:t>
      </w:r>
      <w:r>
        <w:rPr>
          <w:rFonts w:ascii="Arial" w:hAnsi="Arial" w:cs="Arial"/>
          <w:lang w:val="en-GB"/>
        </w:rPr>
        <w:t>2</w:t>
      </w:r>
      <w:r w:rsidRPr="00A50EB3">
        <w:rPr>
          <w:rFonts w:ascii="Arial" w:hAnsi="Arial" w:cs="Arial"/>
          <w:lang w:val="en-GB"/>
        </w:rPr>
        <w:t>” is related to the “EFCC_SWED_PW_li-11-o-I_v</w:t>
      </w:r>
      <w:r>
        <w:rPr>
          <w:rFonts w:ascii="Arial" w:hAnsi="Arial" w:cs="Arial"/>
          <w:lang w:val="en-GB"/>
        </w:rPr>
        <w:t>2</w:t>
      </w:r>
      <w:r w:rsidRPr="00A50EB3">
        <w:rPr>
          <w:rFonts w:ascii="Arial" w:hAnsi="Arial" w:cs="Arial"/>
          <w:lang w:val="en-GB"/>
        </w:rPr>
        <w:t>”</w:t>
      </w:r>
    </w:p>
    <w:p w:rsidR="00A50EB3" w:rsidRPr="0025029F" w:rsidRDefault="00A50EB3" w:rsidP="000364F5">
      <w:pPr>
        <w:shd w:val="clear" w:color="auto" w:fill="FFFFFF" w:themeFill="background1"/>
        <w:spacing w:after="0" w:line="240" w:lineRule="auto"/>
        <w:jc w:val="both"/>
        <w:rPr>
          <w:rFonts w:ascii="Arial" w:hAnsi="Arial" w:cs="Arial"/>
          <w:sz w:val="10"/>
          <w:lang w:val="en-GB"/>
        </w:rPr>
      </w:pPr>
    </w:p>
    <w:p w:rsidR="00EB5A79" w:rsidRDefault="00A50EB3" w:rsidP="00514CE9">
      <w:pPr>
        <w:shd w:val="clear" w:color="auto" w:fill="FFFFFF" w:themeFill="background1"/>
        <w:spacing w:after="0" w:line="240" w:lineRule="auto"/>
        <w:jc w:val="both"/>
        <w:rPr>
          <w:rFonts w:ascii="Arial" w:hAnsi="Arial" w:cs="Arial"/>
          <w:lang w:val="en-GB"/>
        </w:rPr>
      </w:pPr>
      <w:r w:rsidRPr="00A50EB3">
        <w:rPr>
          <w:rFonts w:ascii="Arial" w:hAnsi="Arial" w:cs="Arial"/>
          <w:lang w:val="en-GB"/>
        </w:rPr>
        <w:t>The mixed material is poured into the spraying equipment (airless) and sprayed onto the surface through a handheld nozzle, workers standing upright, outdoors.</w:t>
      </w:r>
    </w:p>
    <w:p w:rsidR="00A50EB3" w:rsidRPr="0025029F" w:rsidRDefault="00A50EB3"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A50EB3">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A50EB3">
            <w:pPr>
              <w:rPr>
                <w:rFonts w:ascii="Arial" w:hAnsi="Arial" w:cs="Arial"/>
                <w:lang w:val="en-GB"/>
              </w:rPr>
            </w:pPr>
            <w:r>
              <w:rPr>
                <w:rFonts w:ascii="Arial" w:hAnsi="Arial" w:cs="Arial"/>
                <w:lang w:val="en-GB"/>
              </w:rPr>
              <w:t xml:space="preserve"> </w:t>
            </w:r>
            <w:r w:rsidR="00A50EB3">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2100D"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92100D"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001A365D" w:rsidRPr="001A365D">
              <w:rPr>
                <w:rFonts w:ascii="Arial" w:hAnsi="Arial" w:cs="Arial"/>
                <w:lang w:val="en-GB"/>
              </w:rPr>
              <w:t>Airless spraying only</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1A365D" w:rsidRPr="0092100D" w:rsidTr="00AF44F6">
        <w:tc>
          <w:tcPr>
            <w:tcW w:w="10318" w:type="dxa"/>
          </w:tcPr>
          <w:p w:rsidR="001A365D" w:rsidRPr="00A9134A" w:rsidRDefault="001A365D" w:rsidP="00EB5A79">
            <w:pPr>
              <w:rPr>
                <w:rFonts w:ascii="Arial" w:hAnsi="Arial" w:cs="Arial"/>
                <w:lang w:val="en-GB"/>
              </w:rPr>
            </w:pPr>
            <w:r>
              <w:rPr>
                <w:rFonts w:ascii="Arial" w:hAnsi="Arial" w:cs="Arial"/>
                <w:lang w:val="en-GB"/>
              </w:rPr>
              <w:t xml:space="preserve">Respiratory protection:  </w:t>
            </w:r>
            <w:r w:rsidRPr="001A365D">
              <w:rPr>
                <w:rFonts w:ascii="Arial" w:hAnsi="Arial" w:cs="Arial"/>
                <w:lang w:val="en-GB"/>
              </w:rPr>
              <w:t>filter mask APF 10</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A365D">
        <w:rPr>
          <w:rFonts w:ascii="Arial" w:hAnsi="Arial" w:cs="Arial"/>
          <w:noProof/>
          <w:lang w:eastAsia="de-DE"/>
        </w:rPr>
        <w:drawing>
          <wp:inline distT="0" distB="0" distL="0" distR="0">
            <wp:extent cx="1260000" cy="126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Filter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2100D"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92100D"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bookmarkStart w:id="0" w:name="_GoBack"/>
      <w:bookmarkEnd w:id="0"/>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B7152C">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A50EB3">
      <w:rPr>
        <w:rFonts w:ascii="Arial" w:hAnsi="Arial" w:cs="Arial"/>
        <w:sz w:val="18"/>
        <w:lang w:val="en-GB"/>
      </w:rPr>
      <w:t>li-11</w:t>
    </w:r>
    <w:r w:rsidR="009A63A3">
      <w:rPr>
        <w:rFonts w:ascii="Arial" w:hAnsi="Arial" w:cs="Arial"/>
        <w:sz w:val="18"/>
        <w:lang w:val="en-GB"/>
      </w:rPr>
      <w:t>-</w:t>
    </w:r>
    <w:r w:rsidR="00A50EB3">
      <w:rPr>
        <w:rFonts w:ascii="Arial" w:hAnsi="Arial" w:cs="Arial"/>
        <w:sz w:val="18"/>
        <w:lang w:val="en-GB"/>
      </w:rPr>
      <w:t>o</w:t>
    </w:r>
    <w:r w:rsidR="00234018" w:rsidRPr="00234018">
      <w:rPr>
        <w:rFonts w:ascii="Arial" w:hAnsi="Arial" w:cs="Arial"/>
        <w:sz w:val="18"/>
        <w:lang w:val="en-GB"/>
      </w:rPr>
      <w:t>-</w:t>
    </w:r>
    <w:r w:rsidR="00E279C9">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151175">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151175">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1542"/>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175"/>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65D"/>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0EB3"/>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52C"/>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B7B17"/>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279C9"/>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77AD4"/>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2018-11-01T15:40:00Z</dcterms:created>
  <dcterms:modified xsi:type="dcterms:W3CDTF">2018-11-02T12:23:00Z</dcterms:modified>
</cp:coreProperties>
</file>